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39F29" w14:textId="302C7D2A" w:rsidR="003A71D4" w:rsidRPr="00D21B49" w:rsidRDefault="00F3132D">
      <w:pPr>
        <w:rPr>
          <w:b/>
          <w:bCs/>
          <w:color w:val="385623" w:themeColor="accent6" w:themeShade="80"/>
        </w:rPr>
      </w:pPr>
      <w:r w:rsidRPr="00D21B49">
        <w:rPr>
          <w:b/>
          <w:bCs/>
          <w:noProof/>
          <w:color w:val="385623" w:themeColor="accent6" w:themeShade="80"/>
        </w:rPr>
        <w:drawing>
          <wp:anchor distT="0" distB="0" distL="114300" distR="114300" simplePos="0" relativeHeight="251658240" behindDoc="1" locked="0" layoutInCell="1" allowOverlap="1" wp14:anchorId="18769520" wp14:editId="28CC45D6">
            <wp:simplePos x="0" y="0"/>
            <wp:positionH relativeFrom="column">
              <wp:posOffset>5068515</wp:posOffset>
            </wp:positionH>
            <wp:positionV relativeFrom="paragraph">
              <wp:posOffset>27</wp:posOffset>
            </wp:positionV>
            <wp:extent cx="1299845" cy="484505"/>
            <wp:effectExtent l="0" t="0" r="0" b="0"/>
            <wp:wrapTight wrapText="bothSides">
              <wp:wrapPolygon edited="0">
                <wp:start x="0" y="0"/>
                <wp:lineTo x="0" y="20949"/>
                <wp:lineTo x="21315" y="20949"/>
                <wp:lineTo x="21315"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T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9845" cy="484505"/>
                    </a:xfrm>
                    <a:prstGeom prst="rect">
                      <a:avLst/>
                    </a:prstGeom>
                  </pic:spPr>
                </pic:pic>
              </a:graphicData>
            </a:graphic>
            <wp14:sizeRelH relativeFrom="page">
              <wp14:pctWidth>0</wp14:pctWidth>
            </wp14:sizeRelH>
            <wp14:sizeRelV relativeFrom="page">
              <wp14:pctHeight>0</wp14:pctHeight>
            </wp14:sizeRelV>
          </wp:anchor>
        </w:drawing>
      </w:r>
      <w:r w:rsidRPr="00D21B49">
        <w:rPr>
          <w:b/>
          <w:bCs/>
          <w:color w:val="385623" w:themeColor="accent6" w:themeShade="80"/>
        </w:rPr>
        <w:t xml:space="preserve">A Primer on the </w:t>
      </w:r>
      <w:r w:rsidR="00F8515C" w:rsidRPr="00D21B49">
        <w:rPr>
          <w:b/>
          <w:bCs/>
          <w:color w:val="385623" w:themeColor="accent6" w:themeShade="80"/>
        </w:rPr>
        <w:t xml:space="preserve">2020 </w:t>
      </w:r>
      <w:r w:rsidRPr="00D21B49">
        <w:rPr>
          <w:b/>
          <w:bCs/>
          <w:color w:val="385623" w:themeColor="accent6" w:themeShade="80"/>
        </w:rPr>
        <w:t>Proposed Bylaws Revision</w:t>
      </w:r>
    </w:p>
    <w:p w14:paraId="5E31D569" w14:textId="14F6D503" w:rsidR="00F3132D" w:rsidRPr="00D21B49" w:rsidRDefault="00F3132D">
      <w:pPr>
        <w:rPr>
          <w:sz w:val="21"/>
          <w:szCs w:val="21"/>
        </w:rPr>
      </w:pPr>
      <w:r w:rsidRPr="00D21B49">
        <w:rPr>
          <w:sz w:val="21"/>
          <w:szCs w:val="21"/>
        </w:rPr>
        <w:t>By: Daniel D. Foster, Professionally Registered Parliamentarian</w:t>
      </w:r>
      <w:r w:rsidR="00204B80" w:rsidRPr="00D21B49">
        <w:rPr>
          <w:sz w:val="21"/>
          <w:szCs w:val="21"/>
        </w:rPr>
        <w:t xml:space="preserve">, </w:t>
      </w:r>
      <w:r w:rsidRPr="00D21B49">
        <w:rPr>
          <w:sz w:val="21"/>
          <w:szCs w:val="21"/>
        </w:rPr>
        <w:t>NACTA Parliamentarian</w:t>
      </w:r>
    </w:p>
    <w:p w14:paraId="6CB68A53" w14:textId="77777777" w:rsidR="00A23853" w:rsidRPr="00C05936" w:rsidRDefault="00A23853">
      <w:pPr>
        <w:rPr>
          <w:b/>
          <w:bCs/>
          <w:sz w:val="16"/>
          <w:szCs w:val="16"/>
        </w:rPr>
      </w:pPr>
    </w:p>
    <w:p w14:paraId="16CA0EE3" w14:textId="57DC4BA3" w:rsidR="00F8515C" w:rsidRPr="00D21B49" w:rsidRDefault="00F8515C">
      <w:pPr>
        <w:rPr>
          <w:b/>
          <w:bCs/>
          <w:sz w:val="21"/>
          <w:szCs w:val="21"/>
        </w:rPr>
      </w:pPr>
      <w:r w:rsidRPr="00D21B49">
        <w:rPr>
          <w:b/>
          <w:bCs/>
          <w:color w:val="385623" w:themeColor="accent6" w:themeShade="80"/>
          <w:sz w:val="21"/>
          <w:szCs w:val="21"/>
        </w:rPr>
        <w:t>What?</w:t>
      </w:r>
      <w:r w:rsidR="00075358" w:rsidRPr="00D21B49">
        <w:rPr>
          <w:b/>
          <w:bCs/>
          <w:color w:val="385623" w:themeColor="accent6" w:themeShade="80"/>
          <w:sz w:val="21"/>
          <w:szCs w:val="21"/>
        </w:rPr>
        <w:t xml:space="preserve"> </w:t>
      </w:r>
      <w:r w:rsidR="002125FB" w:rsidRPr="00D21B49">
        <w:rPr>
          <w:sz w:val="21"/>
          <w:szCs w:val="21"/>
        </w:rPr>
        <w:t xml:space="preserve">A special committee appointed by President Foy Mills (LCU) and chaired by Daniel Foster (Penn State) </w:t>
      </w:r>
      <w:r w:rsidR="00395145" w:rsidRPr="00D21B49">
        <w:rPr>
          <w:sz w:val="20"/>
          <w:szCs w:val="20"/>
        </w:rPr>
        <w:t>has provided the required notice of the proposed revision to the membership for consideration</w:t>
      </w:r>
      <w:r w:rsidR="00A23853" w:rsidRPr="00D21B49">
        <w:rPr>
          <w:sz w:val="20"/>
          <w:szCs w:val="20"/>
        </w:rPr>
        <w:t xml:space="preserve"> in the 2020 Annual Meeting. </w:t>
      </w:r>
      <w:r w:rsidR="00075358" w:rsidRPr="00D21B49">
        <w:rPr>
          <w:sz w:val="20"/>
          <w:szCs w:val="20"/>
          <w:u w:val="single"/>
        </w:rPr>
        <w:t>The NACTA Executive team recommends that the membership adopt the proposed bylaws revision.</w:t>
      </w:r>
    </w:p>
    <w:p w14:paraId="7BE5DCF7" w14:textId="6641B880" w:rsidR="00A23853" w:rsidRPr="00C05936" w:rsidRDefault="00A23853">
      <w:pPr>
        <w:rPr>
          <w:sz w:val="16"/>
          <w:szCs w:val="16"/>
        </w:rPr>
      </w:pPr>
    </w:p>
    <w:p w14:paraId="024FFDA4" w14:textId="097F4567" w:rsidR="00A23853" w:rsidRPr="00D21B49" w:rsidRDefault="00A23853">
      <w:pPr>
        <w:rPr>
          <w:sz w:val="20"/>
          <w:szCs w:val="20"/>
        </w:rPr>
      </w:pPr>
      <w:r w:rsidRPr="00D21B49">
        <w:rPr>
          <w:b/>
          <w:bCs/>
          <w:color w:val="385623" w:themeColor="accent6" w:themeShade="80"/>
          <w:sz w:val="21"/>
          <w:szCs w:val="21"/>
        </w:rPr>
        <w:t>Who</w:t>
      </w:r>
      <w:r w:rsidRPr="00D21B49">
        <w:rPr>
          <w:b/>
          <w:bCs/>
          <w:sz w:val="21"/>
          <w:szCs w:val="21"/>
        </w:rPr>
        <w:t>?</w:t>
      </w:r>
      <w:r w:rsidR="00075358" w:rsidRPr="00D21B49">
        <w:rPr>
          <w:b/>
          <w:bCs/>
          <w:sz w:val="20"/>
          <w:szCs w:val="20"/>
        </w:rPr>
        <w:t xml:space="preserve"> </w:t>
      </w:r>
      <w:r w:rsidR="00075358" w:rsidRPr="00D21B49">
        <w:rPr>
          <w:sz w:val="20"/>
          <w:szCs w:val="20"/>
        </w:rPr>
        <w:t xml:space="preserve">President Mills appointed Daniel Foster (Penn State) to chair this special committee. Members appointed included: </w:t>
      </w:r>
      <w:r w:rsidR="007B0154" w:rsidRPr="00D21B49">
        <w:rPr>
          <w:sz w:val="20"/>
          <w:szCs w:val="20"/>
        </w:rPr>
        <w:t xml:space="preserve">Chris </w:t>
      </w:r>
      <w:proofErr w:type="spellStart"/>
      <w:r w:rsidR="007B0154" w:rsidRPr="00D21B49">
        <w:rPr>
          <w:sz w:val="20"/>
          <w:szCs w:val="20"/>
        </w:rPr>
        <w:t>Esteep</w:t>
      </w:r>
      <w:proofErr w:type="spellEnd"/>
      <w:r w:rsidR="007B0154" w:rsidRPr="00D21B49">
        <w:rPr>
          <w:sz w:val="20"/>
          <w:szCs w:val="20"/>
        </w:rPr>
        <w:t xml:space="preserve"> (Arkansas); Marcos Fernandez (Purdue); </w:t>
      </w:r>
      <w:proofErr w:type="spellStart"/>
      <w:r w:rsidR="007B0154" w:rsidRPr="00D21B49">
        <w:rPr>
          <w:sz w:val="20"/>
          <w:szCs w:val="20"/>
        </w:rPr>
        <w:t>Julnet</w:t>
      </w:r>
      <w:proofErr w:type="spellEnd"/>
      <w:r w:rsidR="007B0154" w:rsidRPr="00D21B49">
        <w:rPr>
          <w:sz w:val="20"/>
          <w:szCs w:val="20"/>
        </w:rPr>
        <w:t xml:space="preserve"> Representative (West Virginia); Foy Mills (</w:t>
      </w:r>
      <w:r w:rsidR="00E07DB1" w:rsidRPr="00D21B49">
        <w:rPr>
          <w:sz w:val="20"/>
          <w:szCs w:val="20"/>
        </w:rPr>
        <w:t>LCU); Ann</w:t>
      </w:r>
      <w:r w:rsidR="0063705C" w:rsidRPr="00D21B49">
        <w:rPr>
          <w:sz w:val="20"/>
          <w:szCs w:val="20"/>
        </w:rPr>
        <w:t xml:space="preserve"> </w:t>
      </w:r>
      <w:r w:rsidR="00E07DB1" w:rsidRPr="00D21B49">
        <w:rPr>
          <w:sz w:val="20"/>
          <w:szCs w:val="20"/>
        </w:rPr>
        <w:t xml:space="preserve">Marie </w:t>
      </w:r>
      <w:proofErr w:type="spellStart"/>
      <w:r w:rsidR="00E07DB1" w:rsidRPr="00D21B49">
        <w:rPr>
          <w:sz w:val="20"/>
          <w:szCs w:val="20"/>
        </w:rPr>
        <w:t>Van</w:t>
      </w:r>
      <w:r w:rsidR="0063705C" w:rsidRPr="00D21B49">
        <w:rPr>
          <w:sz w:val="20"/>
          <w:szCs w:val="20"/>
        </w:rPr>
        <w:t>DerZanden</w:t>
      </w:r>
      <w:proofErr w:type="spellEnd"/>
      <w:r w:rsidR="0063705C" w:rsidRPr="00D21B49">
        <w:rPr>
          <w:sz w:val="20"/>
          <w:szCs w:val="20"/>
        </w:rPr>
        <w:t xml:space="preserve"> (Iowa State) and professional parliamentarian Jim Connors (Idaho).</w:t>
      </w:r>
    </w:p>
    <w:p w14:paraId="095FC23B" w14:textId="77777777" w:rsidR="00A23853" w:rsidRPr="00C05936" w:rsidRDefault="00A23853">
      <w:pPr>
        <w:rPr>
          <w:sz w:val="16"/>
          <w:szCs w:val="16"/>
        </w:rPr>
      </w:pPr>
    </w:p>
    <w:p w14:paraId="4EFAEBA2" w14:textId="4C18E0AB" w:rsidR="00F8515C" w:rsidRPr="00D21B49" w:rsidRDefault="00F8515C">
      <w:pPr>
        <w:rPr>
          <w:b/>
          <w:bCs/>
          <w:sz w:val="21"/>
          <w:szCs w:val="21"/>
        </w:rPr>
      </w:pPr>
      <w:r w:rsidRPr="00D21B49">
        <w:rPr>
          <w:b/>
          <w:bCs/>
          <w:color w:val="385623" w:themeColor="accent6" w:themeShade="80"/>
          <w:sz w:val="21"/>
          <w:szCs w:val="21"/>
        </w:rPr>
        <w:t>How</w:t>
      </w:r>
      <w:r w:rsidRPr="00D21B49">
        <w:rPr>
          <w:b/>
          <w:bCs/>
          <w:sz w:val="21"/>
          <w:szCs w:val="21"/>
        </w:rPr>
        <w:t>?</w:t>
      </w:r>
      <w:r w:rsidR="005F0F9A" w:rsidRPr="00D21B49">
        <w:rPr>
          <w:b/>
          <w:bCs/>
          <w:sz w:val="21"/>
          <w:szCs w:val="21"/>
        </w:rPr>
        <w:t xml:space="preserve"> </w:t>
      </w:r>
      <w:r w:rsidR="002125FB" w:rsidRPr="00D21B49">
        <w:rPr>
          <w:sz w:val="20"/>
          <w:szCs w:val="20"/>
        </w:rPr>
        <w:t>In September 2019, President Mills</w:t>
      </w:r>
      <w:r w:rsidR="00594F5E" w:rsidRPr="00D21B49">
        <w:rPr>
          <w:sz w:val="20"/>
          <w:szCs w:val="20"/>
        </w:rPr>
        <w:t xml:space="preserve"> (LCU)</w:t>
      </w:r>
      <w:r w:rsidR="002125FB" w:rsidRPr="00D21B49">
        <w:rPr>
          <w:sz w:val="20"/>
          <w:szCs w:val="20"/>
        </w:rPr>
        <w:t xml:space="preserve"> appointed </w:t>
      </w:r>
      <w:r w:rsidR="00594F5E" w:rsidRPr="00D21B49">
        <w:rPr>
          <w:sz w:val="20"/>
          <w:szCs w:val="20"/>
        </w:rPr>
        <w:t>the</w:t>
      </w:r>
      <w:r w:rsidR="002125FB" w:rsidRPr="00D21B49">
        <w:rPr>
          <w:sz w:val="20"/>
          <w:szCs w:val="20"/>
        </w:rPr>
        <w:t xml:space="preserve"> special committee to </w:t>
      </w:r>
      <w:r w:rsidR="00594F5E" w:rsidRPr="00D21B49">
        <w:rPr>
          <w:sz w:val="20"/>
          <w:szCs w:val="20"/>
        </w:rPr>
        <w:t>revise</w:t>
      </w:r>
      <w:r w:rsidR="002125FB" w:rsidRPr="00D21B49">
        <w:rPr>
          <w:sz w:val="20"/>
          <w:szCs w:val="20"/>
        </w:rPr>
        <w:t xml:space="preserve"> the NACTA Governing Documents</w:t>
      </w:r>
      <w:r w:rsidR="00594F5E" w:rsidRPr="00D21B49">
        <w:rPr>
          <w:sz w:val="20"/>
          <w:szCs w:val="20"/>
        </w:rPr>
        <w:t xml:space="preserve"> as needed</w:t>
      </w:r>
      <w:r w:rsidR="002125FB" w:rsidRPr="00D21B49">
        <w:rPr>
          <w:sz w:val="20"/>
          <w:szCs w:val="20"/>
        </w:rPr>
        <w:t xml:space="preserve">. Prior to this version being presented, the special committee deliberated extensively in consultation with an external parliamentarian. In Spring 2020, the NACTA executive committee reviewed and refined the proposed version for the membership. </w:t>
      </w:r>
      <w:r w:rsidR="005F0F9A" w:rsidRPr="00D21B49">
        <w:rPr>
          <w:sz w:val="20"/>
          <w:szCs w:val="20"/>
        </w:rPr>
        <w:t xml:space="preserve">It is estimated that over 20 hours of group deliberation on the proposed document has occurred prior to being presented to the membership. </w:t>
      </w:r>
      <w:r w:rsidR="002125FB" w:rsidRPr="00D21B49">
        <w:rPr>
          <w:sz w:val="20"/>
          <w:szCs w:val="20"/>
          <w:u w:val="single"/>
        </w:rPr>
        <w:t>The NACTA Executive team recommends that the membership adopt the proposed bylaws revision.</w:t>
      </w:r>
    </w:p>
    <w:p w14:paraId="6AC1A745" w14:textId="77777777" w:rsidR="005F0F9A" w:rsidRPr="00C05936" w:rsidRDefault="005F0F9A">
      <w:pPr>
        <w:rPr>
          <w:b/>
          <w:bCs/>
          <w:sz w:val="16"/>
          <w:szCs w:val="16"/>
        </w:rPr>
      </w:pPr>
    </w:p>
    <w:p w14:paraId="1424611C" w14:textId="716FD816" w:rsidR="00F8515C" w:rsidRPr="00D21B49" w:rsidRDefault="00F22860">
      <w:pPr>
        <w:rPr>
          <w:b/>
          <w:bCs/>
          <w:sz w:val="21"/>
          <w:szCs w:val="21"/>
        </w:rPr>
      </w:pPr>
      <w:r w:rsidRPr="00D21B49">
        <w:rPr>
          <w:b/>
          <w:bCs/>
          <w:color w:val="385623" w:themeColor="accent6" w:themeShade="80"/>
          <w:sz w:val="21"/>
          <w:szCs w:val="21"/>
        </w:rPr>
        <w:t>Goals</w:t>
      </w:r>
      <w:r w:rsidRPr="00D21B49">
        <w:rPr>
          <w:b/>
          <w:bCs/>
          <w:sz w:val="21"/>
          <w:szCs w:val="21"/>
        </w:rPr>
        <w:t>?</w:t>
      </w:r>
    </w:p>
    <w:p w14:paraId="243B334F" w14:textId="216E8A79" w:rsidR="00203EA2" w:rsidRPr="00D21B49" w:rsidRDefault="00242782" w:rsidP="00242782">
      <w:pPr>
        <w:pStyle w:val="ListParagraph"/>
        <w:numPr>
          <w:ilvl w:val="0"/>
          <w:numId w:val="3"/>
        </w:numPr>
        <w:rPr>
          <w:sz w:val="20"/>
          <w:szCs w:val="20"/>
        </w:rPr>
      </w:pPr>
      <w:r w:rsidRPr="00D21B49">
        <w:rPr>
          <w:sz w:val="20"/>
          <w:szCs w:val="20"/>
          <w:u w:val="single"/>
        </w:rPr>
        <w:t>Modernize</w:t>
      </w:r>
      <w:r w:rsidR="00D61478" w:rsidRPr="00D21B49">
        <w:rPr>
          <w:sz w:val="20"/>
          <w:szCs w:val="20"/>
          <w:u w:val="single"/>
        </w:rPr>
        <w:t xml:space="preserve"> and Simplify</w:t>
      </w:r>
      <w:r w:rsidR="001B417F" w:rsidRPr="00D21B49">
        <w:rPr>
          <w:sz w:val="20"/>
          <w:szCs w:val="20"/>
          <w:u w:val="single"/>
        </w:rPr>
        <w:t>:</w:t>
      </w:r>
      <w:r w:rsidR="005F0F9A" w:rsidRPr="00D21B49">
        <w:rPr>
          <w:sz w:val="20"/>
          <w:szCs w:val="20"/>
        </w:rPr>
        <w:t xml:space="preserve"> </w:t>
      </w:r>
      <w:r w:rsidR="005F0F9A" w:rsidRPr="00D21B49">
        <w:rPr>
          <w:i/>
          <w:iCs/>
          <w:sz w:val="16"/>
          <w:szCs w:val="16"/>
        </w:rPr>
        <w:t>Items in the 2017 version did not align with our</w:t>
      </w:r>
      <w:r w:rsidR="00D61478" w:rsidRPr="00D21B49">
        <w:rPr>
          <w:i/>
          <w:iCs/>
          <w:sz w:val="16"/>
          <w:szCs w:val="16"/>
        </w:rPr>
        <w:t xml:space="preserve"> parliamentary authority, Robert’s Rules of Order Newly Revised. An example would be having a separate constitution and bylaws as opposed to one instrument called the bylaws.</w:t>
      </w:r>
      <w:r w:rsidR="00A45C40" w:rsidRPr="00D21B49">
        <w:rPr>
          <w:sz w:val="16"/>
          <w:szCs w:val="16"/>
        </w:rPr>
        <w:t xml:space="preserve"> </w:t>
      </w:r>
    </w:p>
    <w:p w14:paraId="11052346" w14:textId="4CF252A9" w:rsidR="00242782" w:rsidRPr="00D21B49" w:rsidRDefault="00242782" w:rsidP="00242782">
      <w:pPr>
        <w:pStyle w:val="ListParagraph"/>
        <w:numPr>
          <w:ilvl w:val="0"/>
          <w:numId w:val="3"/>
        </w:numPr>
        <w:rPr>
          <w:sz w:val="20"/>
          <w:szCs w:val="20"/>
          <w:u w:val="single"/>
        </w:rPr>
      </w:pPr>
      <w:r w:rsidRPr="00D21B49">
        <w:rPr>
          <w:sz w:val="20"/>
          <w:szCs w:val="20"/>
          <w:u w:val="single"/>
        </w:rPr>
        <w:t>Clarify</w:t>
      </w:r>
      <w:r w:rsidR="001B417F" w:rsidRPr="00D21B49">
        <w:rPr>
          <w:sz w:val="20"/>
          <w:szCs w:val="20"/>
          <w:u w:val="single"/>
        </w:rPr>
        <w:t>:</w:t>
      </w:r>
      <w:r w:rsidR="0045761D" w:rsidRPr="00D21B49">
        <w:rPr>
          <w:i/>
          <w:iCs/>
          <w:sz w:val="20"/>
          <w:szCs w:val="20"/>
          <w:u w:val="single"/>
        </w:rPr>
        <w:t xml:space="preserve"> </w:t>
      </w:r>
      <w:r w:rsidR="0045761D" w:rsidRPr="00D21B49">
        <w:rPr>
          <w:i/>
          <w:iCs/>
          <w:sz w:val="16"/>
          <w:szCs w:val="16"/>
        </w:rPr>
        <w:t>Bylaws should be a living document accurately reflecting current operations of an organization that could be provided to any</w:t>
      </w:r>
      <w:r w:rsidR="006A43A4" w:rsidRPr="00D21B49">
        <w:rPr>
          <w:i/>
          <w:iCs/>
          <w:sz w:val="16"/>
          <w:szCs w:val="16"/>
        </w:rPr>
        <w:t xml:space="preserve"> potential member and/or partner to inform of practice and procedure for engagement in organization business, thus increasing transparency and inclusivity. </w:t>
      </w:r>
      <w:r w:rsidR="00C146EB" w:rsidRPr="00D21B49">
        <w:rPr>
          <w:i/>
          <w:iCs/>
          <w:sz w:val="16"/>
          <w:szCs w:val="16"/>
        </w:rPr>
        <w:t xml:space="preserve">A specific example is the inclusion of the NACTA Foundation as a standing committee in </w:t>
      </w:r>
      <w:r w:rsidR="001B417F" w:rsidRPr="00D21B49">
        <w:rPr>
          <w:i/>
          <w:iCs/>
          <w:sz w:val="16"/>
          <w:szCs w:val="16"/>
        </w:rPr>
        <w:t>the NACTA Organization as opposed to separate organization.</w:t>
      </w:r>
    </w:p>
    <w:p w14:paraId="5BD14CB9" w14:textId="3B2A1946" w:rsidR="0045761D" w:rsidRPr="00D21B49" w:rsidRDefault="0045761D" w:rsidP="00242782">
      <w:pPr>
        <w:pStyle w:val="ListParagraph"/>
        <w:numPr>
          <w:ilvl w:val="0"/>
          <w:numId w:val="3"/>
        </w:numPr>
        <w:rPr>
          <w:sz w:val="20"/>
          <w:szCs w:val="20"/>
          <w:u w:val="single"/>
        </w:rPr>
      </w:pPr>
      <w:r w:rsidRPr="00D21B49">
        <w:rPr>
          <w:sz w:val="20"/>
          <w:szCs w:val="20"/>
          <w:u w:val="single"/>
        </w:rPr>
        <w:t>Increase Flexibility</w:t>
      </w:r>
      <w:r w:rsidR="001B417F" w:rsidRPr="00D21B49">
        <w:rPr>
          <w:sz w:val="20"/>
          <w:szCs w:val="20"/>
          <w:u w:val="single"/>
        </w:rPr>
        <w:t>:</w:t>
      </w:r>
      <w:r w:rsidRPr="00D21B49">
        <w:rPr>
          <w:sz w:val="20"/>
          <w:szCs w:val="20"/>
        </w:rPr>
        <w:t xml:space="preserve"> </w:t>
      </w:r>
      <w:r w:rsidR="006A43A4" w:rsidRPr="00D21B49">
        <w:rPr>
          <w:i/>
          <w:iCs/>
          <w:sz w:val="16"/>
          <w:szCs w:val="16"/>
        </w:rPr>
        <w:t xml:space="preserve">Similar to the goal to modernize, the document needs to be able to help the organization be successful. Specific examples of increasing flexibility include the </w:t>
      </w:r>
      <w:r w:rsidR="00A45C40" w:rsidRPr="00D21B49">
        <w:rPr>
          <w:i/>
          <w:iCs/>
          <w:sz w:val="16"/>
          <w:szCs w:val="16"/>
        </w:rPr>
        <w:t>addition</w:t>
      </w:r>
      <w:r w:rsidR="006A43A4" w:rsidRPr="00D21B49">
        <w:rPr>
          <w:i/>
          <w:iCs/>
          <w:sz w:val="16"/>
          <w:szCs w:val="16"/>
        </w:rPr>
        <w:t xml:space="preserve"> of provision for electronic meetings as well as </w:t>
      </w:r>
      <w:r w:rsidR="00A45C40" w:rsidRPr="00D21B49">
        <w:rPr>
          <w:i/>
          <w:iCs/>
          <w:sz w:val="16"/>
          <w:szCs w:val="16"/>
        </w:rPr>
        <w:t xml:space="preserve">the movement of administrative details </w:t>
      </w:r>
      <w:r w:rsidR="001B417F" w:rsidRPr="00D21B49">
        <w:rPr>
          <w:i/>
          <w:iCs/>
          <w:sz w:val="16"/>
          <w:szCs w:val="16"/>
        </w:rPr>
        <w:t>out of the bylaws to standing rules which allows for their potential suspension if needed.</w:t>
      </w:r>
    </w:p>
    <w:p w14:paraId="3F96DCFD" w14:textId="77777777" w:rsidR="001B417F" w:rsidRPr="00C05936" w:rsidRDefault="001B417F" w:rsidP="001B417F">
      <w:pPr>
        <w:pStyle w:val="ListParagraph"/>
        <w:ind w:left="360"/>
        <w:rPr>
          <w:sz w:val="16"/>
          <w:szCs w:val="16"/>
          <w:u w:val="single"/>
        </w:rPr>
      </w:pPr>
    </w:p>
    <w:p w14:paraId="4FB6CD6A" w14:textId="05BB2D47" w:rsidR="00F22860" w:rsidRPr="00D21B49" w:rsidRDefault="00B8439A">
      <w:pPr>
        <w:rPr>
          <w:b/>
          <w:bCs/>
          <w:color w:val="385623" w:themeColor="accent6" w:themeShade="80"/>
          <w:sz w:val="21"/>
          <w:szCs w:val="21"/>
        </w:rPr>
      </w:pPr>
      <w:r w:rsidRPr="00D21B49">
        <w:rPr>
          <w:b/>
          <w:bCs/>
          <w:color w:val="385623" w:themeColor="accent6" w:themeShade="80"/>
          <w:sz w:val="21"/>
          <w:szCs w:val="21"/>
        </w:rPr>
        <w:t xml:space="preserve">The Top 10 </w:t>
      </w:r>
      <w:r w:rsidR="00F22860" w:rsidRPr="00D21B49">
        <w:rPr>
          <w:b/>
          <w:bCs/>
          <w:color w:val="385623" w:themeColor="accent6" w:themeShade="80"/>
          <w:sz w:val="21"/>
          <w:szCs w:val="21"/>
        </w:rPr>
        <w:t>Substantive Changes</w:t>
      </w:r>
    </w:p>
    <w:p w14:paraId="3F1B7910" w14:textId="77777777" w:rsidR="00307D3D" w:rsidRPr="00D21B49" w:rsidRDefault="00307D3D" w:rsidP="00F72524">
      <w:pPr>
        <w:pStyle w:val="ListParagraph"/>
        <w:numPr>
          <w:ilvl w:val="0"/>
          <w:numId w:val="4"/>
        </w:numPr>
        <w:rPr>
          <w:sz w:val="18"/>
          <w:szCs w:val="18"/>
        </w:rPr>
        <w:sectPr w:rsidR="00307D3D" w:rsidRPr="00D21B49" w:rsidSect="00F72524">
          <w:pgSz w:w="12240" w:h="15840"/>
          <w:pgMar w:top="720" w:right="720" w:bottom="720" w:left="720" w:header="720" w:footer="720"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20"/>
          <w:docGrid w:linePitch="360"/>
        </w:sectPr>
      </w:pPr>
    </w:p>
    <w:p w14:paraId="322AA4F5" w14:textId="5C5EE246" w:rsidR="00F22860" w:rsidRPr="00250CE1" w:rsidRDefault="0096210C" w:rsidP="00307D3D">
      <w:pPr>
        <w:pStyle w:val="ListParagraph"/>
        <w:numPr>
          <w:ilvl w:val="0"/>
          <w:numId w:val="4"/>
        </w:numPr>
        <w:ind w:left="180" w:hanging="180"/>
        <w:rPr>
          <w:sz w:val="20"/>
          <w:szCs w:val="20"/>
        </w:rPr>
      </w:pPr>
      <w:r w:rsidRPr="00250CE1">
        <w:rPr>
          <w:sz w:val="20"/>
          <w:szCs w:val="20"/>
        </w:rPr>
        <w:t>The combination of the constitution and bylaws into one instrument.</w:t>
      </w:r>
    </w:p>
    <w:p w14:paraId="0894F94C" w14:textId="2F11FA01" w:rsidR="0096210C" w:rsidRPr="00250CE1" w:rsidRDefault="00EE6493" w:rsidP="00307D3D">
      <w:pPr>
        <w:pStyle w:val="ListParagraph"/>
        <w:numPr>
          <w:ilvl w:val="0"/>
          <w:numId w:val="4"/>
        </w:numPr>
        <w:ind w:left="180" w:hanging="180"/>
        <w:rPr>
          <w:sz w:val="20"/>
          <w:szCs w:val="20"/>
        </w:rPr>
      </w:pPr>
      <w:r w:rsidRPr="00250CE1">
        <w:rPr>
          <w:sz w:val="20"/>
          <w:szCs w:val="20"/>
        </w:rPr>
        <w:t xml:space="preserve">The simplification </w:t>
      </w:r>
      <w:r w:rsidR="000019B2" w:rsidRPr="00250CE1">
        <w:rPr>
          <w:sz w:val="20"/>
          <w:szCs w:val="20"/>
        </w:rPr>
        <w:t xml:space="preserve">and clarification </w:t>
      </w:r>
      <w:r w:rsidRPr="00250CE1">
        <w:rPr>
          <w:sz w:val="20"/>
          <w:szCs w:val="20"/>
        </w:rPr>
        <w:t xml:space="preserve">of membership categories. </w:t>
      </w:r>
    </w:p>
    <w:p w14:paraId="5FB0C8D6" w14:textId="36759AF3" w:rsidR="00B17572" w:rsidRPr="00250CE1" w:rsidRDefault="00B17572" w:rsidP="00307D3D">
      <w:pPr>
        <w:pStyle w:val="ListParagraph"/>
        <w:numPr>
          <w:ilvl w:val="0"/>
          <w:numId w:val="4"/>
        </w:numPr>
        <w:ind w:left="180" w:hanging="180"/>
        <w:rPr>
          <w:sz w:val="20"/>
          <w:szCs w:val="20"/>
        </w:rPr>
      </w:pPr>
      <w:r w:rsidRPr="00250CE1">
        <w:rPr>
          <w:sz w:val="20"/>
          <w:szCs w:val="20"/>
        </w:rPr>
        <w:t>The clarification of elected versus appointed officers.</w:t>
      </w:r>
    </w:p>
    <w:p w14:paraId="563C227B" w14:textId="323D4649" w:rsidR="00B17572" w:rsidRPr="00250CE1" w:rsidRDefault="00B17572" w:rsidP="00307D3D">
      <w:pPr>
        <w:pStyle w:val="ListParagraph"/>
        <w:numPr>
          <w:ilvl w:val="0"/>
          <w:numId w:val="4"/>
        </w:numPr>
        <w:ind w:left="180" w:hanging="180"/>
        <w:rPr>
          <w:sz w:val="20"/>
          <w:szCs w:val="20"/>
        </w:rPr>
      </w:pPr>
      <w:r w:rsidRPr="00250CE1">
        <w:rPr>
          <w:sz w:val="20"/>
          <w:szCs w:val="20"/>
        </w:rPr>
        <w:t>The elimination of Regional Directors-Elect</w:t>
      </w:r>
      <w:r w:rsidR="00A31A31" w:rsidRPr="00250CE1">
        <w:rPr>
          <w:sz w:val="20"/>
          <w:szCs w:val="20"/>
        </w:rPr>
        <w:t xml:space="preserve"> and Membership Director as offices</w:t>
      </w:r>
      <w:r w:rsidRPr="00250CE1">
        <w:rPr>
          <w:sz w:val="20"/>
          <w:szCs w:val="20"/>
        </w:rPr>
        <w:t>.</w:t>
      </w:r>
    </w:p>
    <w:p w14:paraId="09624549" w14:textId="782DEB0A" w:rsidR="003123D2" w:rsidRPr="00250CE1" w:rsidRDefault="003123D2" w:rsidP="00307D3D">
      <w:pPr>
        <w:pStyle w:val="ListParagraph"/>
        <w:numPr>
          <w:ilvl w:val="0"/>
          <w:numId w:val="4"/>
        </w:numPr>
        <w:ind w:left="180" w:hanging="180"/>
        <w:rPr>
          <w:sz w:val="20"/>
          <w:szCs w:val="20"/>
        </w:rPr>
      </w:pPr>
      <w:r w:rsidRPr="00250CE1">
        <w:rPr>
          <w:sz w:val="20"/>
          <w:szCs w:val="20"/>
        </w:rPr>
        <w:t>The clarification of nomination and election procedures.</w:t>
      </w:r>
    </w:p>
    <w:p w14:paraId="149ECE94" w14:textId="231DB169" w:rsidR="003123D2" w:rsidRPr="00250CE1" w:rsidRDefault="009D1FB2" w:rsidP="00307D3D">
      <w:pPr>
        <w:pStyle w:val="ListParagraph"/>
        <w:numPr>
          <w:ilvl w:val="0"/>
          <w:numId w:val="4"/>
        </w:numPr>
        <w:ind w:left="180" w:hanging="180"/>
        <w:rPr>
          <w:sz w:val="20"/>
          <w:szCs w:val="20"/>
        </w:rPr>
      </w:pPr>
      <w:r w:rsidRPr="00250CE1">
        <w:rPr>
          <w:sz w:val="20"/>
          <w:szCs w:val="20"/>
        </w:rPr>
        <w:t xml:space="preserve">The </w:t>
      </w:r>
      <w:r w:rsidR="008A7922" w:rsidRPr="00250CE1">
        <w:rPr>
          <w:sz w:val="20"/>
          <w:szCs w:val="20"/>
        </w:rPr>
        <w:t>change for quorum (number required to transact business) from members in the room to 50 active members.</w:t>
      </w:r>
    </w:p>
    <w:p w14:paraId="452BD905" w14:textId="29CA3A44" w:rsidR="00B8439A" w:rsidRPr="00250CE1" w:rsidRDefault="00B8439A" w:rsidP="00307D3D">
      <w:pPr>
        <w:pStyle w:val="ListParagraph"/>
        <w:numPr>
          <w:ilvl w:val="0"/>
          <w:numId w:val="4"/>
        </w:numPr>
        <w:ind w:left="180" w:hanging="180"/>
        <w:rPr>
          <w:sz w:val="20"/>
          <w:szCs w:val="20"/>
        </w:rPr>
      </w:pPr>
      <w:r w:rsidRPr="00250CE1">
        <w:rPr>
          <w:sz w:val="20"/>
          <w:szCs w:val="20"/>
        </w:rPr>
        <w:t>The addition of permission for electronic meetings.</w:t>
      </w:r>
    </w:p>
    <w:p w14:paraId="4E2A1DAA" w14:textId="16564A47" w:rsidR="00B8439A" w:rsidRPr="00250CE1" w:rsidRDefault="00545DEC" w:rsidP="00307D3D">
      <w:pPr>
        <w:pStyle w:val="ListParagraph"/>
        <w:numPr>
          <w:ilvl w:val="0"/>
          <w:numId w:val="4"/>
        </w:numPr>
        <w:ind w:left="180" w:hanging="180"/>
        <w:rPr>
          <w:sz w:val="20"/>
          <w:szCs w:val="20"/>
        </w:rPr>
      </w:pPr>
      <w:r w:rsidRPr="00250CE1">
        <w:rPr>
          <w:sz w:val="20"/>
          <w:szCs w:val="20"/>
        </w:rPr>
        <w:t>The addition of permission for “action without meeting” with consensus.</w:t>
      </w:r>
    </w:p>
    <w:p w14:paraId="0D2B5F71" w14:textId="1852E0CA" w:rsidR="00B8439A" w:rsidRPr="00250CE1" w:rsidRDefault="00FD50F3" w:rsidP="00307D3D">
      <w:pPr>
        <w:pStyle w:val="ListParagraph"/>
        <w:numPr>
          <w:ilvl w:val="0"/>
          <w:numId w:val="4"/>
        </w:numPr>
        <w:ind w:left="180" w:hanging="180"/>
        <w:rPr>
          <w:sz w:val="20"/>
          <w:szCs w:val="20"/>
        </w:rPr>
      </w:pPr>
      <w:r w:rsidRPr="00250CE1">
        <w:rPr>
          <w:sz w:val="20"/>
          <w:szCs w:val="20"/>
        </w:rPr>
        <w:t>The simplification and clarification of committee process including the remova</w:t>
      </w:r>
      <w:r w:rsidR="00F33713" w:rsidRPr="00250CE1">
        <w:rPr>
          <w:sz w:val="20"/>
          <w:szCs w:val="20"/>
        </w:rPr>
        <w:t xml:space="preserve">l of the Conference Program &amp; Host Site Committee as a standing committee (moved to standing rules) and </w:t>
      </w:r>
      <w:r w:rsidR="00A31A31" w:rsidRPr="00250CE1">
        <w:rPr>
          <w:sz w:val="20"/>
          <w:szCs w:val="20"/>
        </w:rPr>
        <w:t>renaming of International Committee to Global Engagement Committee</w:t>
      </w:r>
      <w:r w:rsidR="00B8439A" w:rsidRPr="00250CE1">
        <w:rPr>
          <w:sz w:val="20"/>
          <w:szCs w:val="20"/>
        </w:rPr>
        <w:t>.</w:t>
      </w:r>
    </w:p>
    <w:p w14:paraId="1157ADC2" w14:textId="3EECE7BD" w:rsidR="00B8439A" w:rsidRPr="00250CE1" w:rsidRDefault="00A31A31" w:rsidP="00307D3D">
      <w:pPr>
        <w:pStyle w:val="ListParagraph"/>
        <w:numPr>
          <w:ilvl w:val="0"/>
          <w:numId w:val="4"/>
        </w:numPr>
        <w:ind w:left="180" w:hanging="180"/>
        <w:rPr>
          <w:sz w:val="20"/>
          <w:szCs w:val="20"/>
        </w:rPr>
      </w:pPr>
      <w:r w:rsidRPr="00250CE1">
        <w:rPr>
          <w:sz w:val="20"/>
          <w:szCs w:val="20"/>
        </w:rPr>
        <w:t>The inclusion of the NACTA Foundation as a standing committee of the NACTA Organization.</w:t>
      </w:r>
    </w:p>
    <w:p w14:paraId="4D1671AE" w14:textId="77777777" w:rsidR="00307D3D" w:rsidRPr="00D21B49" w:rsidRDefault="00307D3D">
      <w:pPr>
        <w:rPr>
          <w:b/>
          <w:bCs/>
          <w:color w:val="385623" w:themeColor="accent6" w:themeShade="80"/>
          <w:sz w:val="21"/>
          <w:szCs w:val="21"/>
        </w:rPr>
        <w:sectPr w:rsidR="00307D3D" w:rsidRPr="00D21B49" w:rsidSect="00307D3D">
          <w:type w:val="continuous"/>
          <w:pgSz w:w="12240" w:h="15840"/>
          <w:pgMar w:top="720" w:right="720" w:bottom="720" w:left="720" w:header="720" w:footer="720"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num="2" w:space="720"/>
          <w:docGrid w:linePitch="360"/>
        </w:sectPr>
      </w:pPr>
    </w:p>
    <w:p w14:paraId="6D7EB184" w14:textId="77777777" w:rsidR="00D21B49" w:rsidRPr="00C05936" w:rsidRDefault="00D21B49">
      <w:pPr>
        <w:rPr>
          <w:b/>
          <w:bCs/>
          <w:color w:val="385623" w:themeColor="accent6" w:themeShade="80"/>
          <w:sz w:val="16"/>
          <w:szCs w:val="16"/>
        </w:rPr>
      </w:pPr>
    </w:p>
    <w:p w14:paraId="0E155292" w14:textId="552E54F9" w:rsidR="00F22860" w:rsidRPr="00D21B49" w:rsidRDefault="007A362E">
      <w:pPr>
        <w:rPr>
          <w:b/>
          <w:bCs/>
          <w:color w:val="385623" w:themeColor="accent6" w:themeShade="80"/>
          <w:sz w:val="21"/>
          <w:szCs w:val="21"/>
        </w:rPr>
      </w:pPr>
      <w:r w:rsidRPr="00D21B49">
        <w:rPr>
          <w:b/>
          <w:bCs/>
          <w:color w:val="385623" w:themeColor="accent6" w:themeShade="80"/>
          <w:sz w:val="21"/>
          <w:szCs w:val="21"/>
        </w:rPr>
        <w:t xml:space="preserve">Five </w:t>
      </w:r>
      <w:r w:rsidR="00F22860" w:rsidRPr="00D21B49">
        <w:rPr>
          <w:b/>
          <w:bCs/>
          <w:color w:val="385623" w:themeColor="accent6" w:themeShade="80"/>
          <w:sz w:val="21"/>
          <w:szCs w:val="21"/>
        </w:rPr>
        <w:t>Frequently Asked Questions</w:t>
      </w:r>
    </w:p>
    <w:p w14:paraId="608A4E0D" w14:textId="77777777" w:rsidR="00BF03FD" w:rsidRPr="00250CE1" w:rsidRDefault="00BF03FD" w:rsidP="00F72524">
      <w:pPr>
        <w:pStyle w:val="ListParagraph"/>
        <w:numPr>
          <w:ilvl w:val="0"/>
          <w:numId w:val="2"/>
        </w:numPr>
        <w:ind w:hanging="270"/>
        <w:rPr>
          <w:i/>
          <w:iCs/>
          <w:sz w:val="20"/>
          <w:szCs w:val="20"/>
        </w:rPr>
      </w:pPr>
      <w:r w:rsidRPr="00250CE1">
        <w:rPr>
          <w:i/>
          <w:iCs/>
          <w:sz w:val="20"/>
          <w:szCs w:val="20"/>
        </w:rPr>
        <w:t>What is the process for adoption in the annual meeting?</w:t>
      </w:r>
    </w:p>
    <w:p w14:paraId="3DF1A939" w14:textId="699E4D00" w:rsidR="00BF03FD" w:rsidRPr="00250CE1" w:rsidRDefault="00BF03FD" w:rsidP="00F72524">
      <w:pPr>
        <w:pStyle w:val="ListParagraph"/>
        <w:ind w:left="630"/>
        <w:rPr>
          <w:i/>
          <w:iCs/>
          <w:sz w:val="18"/>
          <w:szCs w:val="18"/>
        </w:rPr>
      </w:pPr>
      <w:r w:rsidRPr="00250CE1">
        <w:rPr>
          <w:sz w:val="18"/>
          <w:szCs w:val="18"/>
        </w:rPr>
        <w:t xml:space="preserve">Our parliamentary authority </w:t>
      </w:r>
      <w:r w:rsidR="00050D21" w:rsidRPr="00250CE1">
        <w:rPr>
          <w:sz w:val="18"/>
          <w:szCs w:val="18"/>
        </w:rPr>
        <w:t xml:space="preserve">states that bylaws revisions should be considered </w:t>
      </w:r>
      <w:r w:rsidR="009C5818" w:rsidRPr="00250CE1">
        <w:rPr>
          <w:sz w:val="18"/>
          <w:szCs w:val="18"/>
        </w:rPr>
        <w:t>in seriatim, which means article by article or section by section. A member could propose to suspend the rules and allow for the membership to consider the revision in gross. This motion would require a 2/3rds vote to pass.</w:t>
      </w:r>
    </w:p>
    <w:p w14:paraId="44DE588B" w14:textId="34E12FC0" w:rsidR="004C28D8" w:rsidRPr="00250CE1" w:rsidRDefault="004C28D8" w:rsidP="00F72524">
      <w:pPr>
        <w:pStyle w:val="ListParagraph"/>
        <w:numPr>
          <w:ilvl w:val="0"/>
          <w:numId w:val="2"/>
        </w:numPr>
        <w:ind w:hanging="270"/>
        <w:rPr>
          <w:i/>
          <w:iCs/>
          <w:sz w:val="20"/>
          <w:szCs w:val="20"/>
        </w:rPr>
      </w:pPr>
      <w:r w:rsidRPr="00250CE1">
        <w:rPr>
          <w:i/>
          <w:iCs/>
          <w:sz w:val="20"/>
          <w:szCs w:val="20"/>
        </w:rPr>
        <w:t>As a member, can I suggest changes to the proposed bylaws revision?</w:t>
      </w:r>
    </w:p>
    <w:p w14:paraId="2ADCA2B1" w14:textId="11598414" w:rsidR="007A362E" w:rsidRPr="00250CE1" w:rsidRDefault="00EC7856" w:rsidP="00F72524">
      <w:pPr>
        <w:pStyle w:val="ListParagraph"/>
        <w:ind w:left="630"/>
        <w:rPr>
          <w:sz w:val="18"/>
          <w:szCs w:val="18"/>
        </w:rPr>
      </w:pPr>
      <w:r w:rsidRPr="00250CE1">
        <w:rPr>
          <w:sz w:val="18"/>
          <w:szCs w:val="18"/>
        </w:rPr>
        <w:t>As this is a bylaws revision and not a solitary bylaws amendment, the entire document is open to amendment. Any member in good standing to move to prop</w:t>
      </w:r>
      <w:r w:rsidR="00D64CAE" w:rsidRPr="00250CE1">
        <w:rPr>
          <w:sz w:val="18"/>
          <w:szCs w:val="18"/>
        </w:rPr>
        <w:t xml:space="preserve">ose an amendment. </w:t>
      </w:r>
      <w:r w:rsidR="00273136" w:rsidRPr="00250CE1">
        <w:rPr>
          <w:sz w:val="18"/>
          <w:szCs w:val="18"/>
        </w:rPr>
        <w:t xml:space="preserve">Amendments are debatable and would require a majority vote to pass. </w:t>
      </w:r>
      <w:r w:rsidR="00D64CAE" w:rsidRPr="00250CE1">
        <w:rPr>
          <w:sz w:val="18"/>
          <w:szCs w:val="18"/>
        </w:rPr>
        <w:t>To improve meeting efficiency in a</w:t>
      </w:r>
      <w:r w:rsidR="00273136" w:rsidRPr="00250CE1">
        <w:rPr>
          <w:sz w:val="18"/>
          <w:szCs w:val="18"/>
        </w:rPr>
        <w:t xml:space="preserve">n electronic format, all amendments are requested to be submitted prior to the </w:t>
      </w:r>
      <w:r w:rsidR="00273136" w:rsidRPr="00250CE1">
        <w:rPr>
          <w:b/>
          <w:bCs/>
          <w:color w:val="FF0000"/>
          <w:sz w:val="18"/>
          <w:szCs w:val="18"/>
        </w:rPr>
        <w:t>12pm EDT on Thursday, June 18</w:t>
      </w:r>
      <w:r w:rsidR="00273136" w:rsidRPr="00250CE1">
        <w:rPr>
          <w:b/>
          <w:bCs/>
          <w:color w:val="FF0000"/>
          <w:sz w:val="18"/>
          <w:szCs w:val="18"/>
          <w:vertAlign w:val="superscript"/>
        </w:rPr>
        <w:t>th</w:t>
      </w:r>
      <w:r w:rsidR="00273136" w:rsidRPr="00250CE1">
        <w:rPr>
          <w:color w:val="FF0000"/>
          <w:sz w:val="18"/>
          <w:szCs w:val="18"/>
        </w:rPr>
        <w:t xml:space="preserve"> </w:t>
      </w:r>
      <w:r w:rsidR="00273136" w:rsidRPr="00250CE1">
        <w:rPr>
          <w:sz w:val="18"/>
          <w:szCs w:val="18"/>
        </w:rPr>
        <w:t xml:space="preserve">by email to </w:t>
      </w:r>
      <w:hyperlink r:id="rId6" w:history="1">
        <w:r w:rsidR="00273136" w:rsidRPr="00250CE1">
          <w:rPr>
            <w:rStyle w:val="Hyperlink"/>
            <w:sz w:val="18"/>
            <w:szCs w:val="18"/>
          </w:rPr>
          <w:t>foster@psu.edu</w:t>
        </w:r>
      </w:hyperlink>
      <w:r w:rsidR="00273136" w:rsidRPr="00250CE1">
        <w:rPr>
          <w:sz w:val="18"/>
          <w:szCs w:val="18"/>
        </w:rPr>
        <w:t xml:space="preserve">. Please include the page and line number where the amendment would occur. </w:t>
      </w:r>
    </w:p>
    <w:p w14:paraId="43D5C95F" w14:textId="77777777" w:rsidR="003E44BD" w:rsidRPr="00250CE1" w:rsidRDefault="003E44BD" w:rsidP="00F72524">
      <w:pPr>
        <w:pStyle w:val="ListParagraph"/>
        <w:numPr>
          <w:ilvl w:val="0"/>
          <w:numId w:val="2"/>
        </w:numPr>
        <w:ind w:hanging="270"/>
        <w:rPr>
          <w:i/>
          <w:iCs/>
          <w:sz w:val="20"/>
          <w:szCs w:val="20"/>
        </w:rPr>
      </w:pPr>
      <w:r w:rsidRPr="00250CE1">
        <w:rPr>
          <w:i/>
          <w:iCs/>
          <w:sz w:val="20"/>
          <w:szCs w:val="20"/>
        </w:rPr>
        <w:t>What vote is required for the passage of the Bylaws Revision?</w:t>
      </w:r>
    </w:p>
    <w:p w14:paraId="44EFB9B2" w14:textId="7E66E644" w:rsidR="007A362E" w:rsidRPr="00250CE1" w:rsidRDefault="00273136" w:rsidP="00F72524">
      <w:pPr>
        <w:pStyle w:val="ListParagraph"/>
        <w:ind w:left="630"/>
        <w:rPr>
          <w:sz w:val="18"/>
          <w:szCs w:val="18"/>
        </w:rPr>
      </w:pPr>
      <w:r w:rsidRPr="00250CE1">
        <w:rPr>
          <w:sz w:val="18"/>
          <w:szCs w:val="18"/>
        </w:rPr>
        <w:t xml:space="preserve">Once each article and section </w:t>
      </w:r>
      <w:r w:rsidR="00EF0595" w:rsidRPr="00250CE1">
        <w:rPr>
          <w:sz w:val="18"/>
          <w:szCs w:val="18"/>
        </w:rPr>
        <w:t>are</w:t>
      </w:r>
      <w:r w:rsidRPr="00250CE1">
        <w:rPr>
          <w:sz w:val="18"/>
          <w:szCs w:val="18"/>
        </w:rPr>
        <w:t xml:space="preserve"> considered, as well as potential amendments, a vote on the </w:t>
      </w:r>
      <w:r w:rsidR="003E44BD" w:rsidRPr="00250CE1">
        <w:rPr>
          <w:sz w:val="18"/>
          <w:szCs w:val="18"/>
        </w:rPr>
        <w:t xml:space="preserve">Bylaws Revision </w:t>
      </w:r>
      <w:r w:rsidR="00EF0595" w:rsidRPr="00250CE1">
        <w:rPr>
          <w:sz w:val="18"/>
          <w:szCs w:val="18"/>
        </w:rPr>
        <w:t xml:space="preserve">will occur. </w:t>
      </w:r>
      <w:r w:rsidR="006D6306" w:rsidRPr="00250CE1">
        <w:rPr>
          <w:sz w:val="18"/>
          <w:szCs w:val="18"/>
        </w:rPr>
        <w:t>In accordance with the 2017 Constitution/Bylaws, a 2/3rds vote of the members present</w:t>
      </w:r>
      <w:r w:rsidR="00E04AB7" w:rsidRPr="00250CE1">
        <w:rPr>
          <w:sz w:val="18"/>
          <w:szCs w:val="18"/>
        </w:rPr>
        <w:t xml:space="preserve"> is required for passage. </w:t>
      </w:r>
    </w:p>
    <w:p w14:paraId="570A3FF9" w14:textId="3BB3B3B6" w:rsidR="007A362E" w:rsidRPr="00250CE1" w:rsidRDefault="007F46A2" w:rsidP="00F72524">
      <w:pPr>
        <w:pStyle w:val="ListParagraph"/>
        <w:numPr>
          <w:ilvl w:val="0"/>
          <w:numId w:val="2"/>
        </w:numPr>
        <w:ind w:hanging="270"/>
        <w:rPr>
          <w:i/>
          <w:iCs/>
          <w:sz w:val="20"/>
          <w:szCs w:val="20"/>
        </w:rPr>
      </w:pPr>
      <w:r w:rsidRPr="00250CE1">
        <w:rPr>
          <w:i/>
          <w:iCs/>
          <w:sz w:val="20"/>
          <w:szCs w:val="20"/>
        </w:rPr>
        <w:t xml:space="preserve">What happens if </w:t>
      </w:r>
      <w:r w:rsidR="007A362E" w:rsidRPr="00250CE1">
        <w:rPr>
          <w:i/>
          <w:iCs/>
          <w:sz w:val="20"/>
          <w:szCs w:val="20"/>
        </w:rPr>
        <w:t>the vote on the Bylaws Revision fails?</w:t>
      </w:r>
    </w:p>
    <w:p w14:paraId="780222FB" w14:textId="489F1E38" w:rsidR="007A362E" w:rsidRPr="00250CE1" w:rsidRDefault="00E04AB7" w:rsidP="00F72524">
      <w:pPr>
        <w:pStyle w:val="ListParagraph"/>
        <w:ind w:left="630"/>
        <w:rPr>
          <w:sz w:val="18"/>
          <w:szCs w:val="18"/>
        </w:rPr>
      </w:pPr>
      <w:r w:rsidRPr="00250CE1">
        <w:rPr>
          <w:sz w:val="18"/>
          <w:szCs w:val="18"/>
        </w:rPr>
        <w:t xml:space="preserve">The organization continues to be governed by the 2017 bylaws and the expenditure of human resources was for naught. </w:t>
      </w:r>
    </w:p>
    <w:p w14:paraId="6476A030" w14:textId="1B571919" w:rsidR="003E44BD" w:rsidRPr="00250CE1" w:rsidRDefault="00A35D21" w:rsidP="00F72524">
      <w:pPr>
        <w:pStyle w:val="ListParagraph"/>
        <w:numPr>
          <w:ilvl w:val="0"/>
          <w:numId w:val="2"/>
        </w:numPr>
        <w:ind w:hanging="270"/>
        <w:rPr>
          <w:i/>
          <w:iCs/>
          <w:sz w:val="20"/>
          <w:szCs w:val="20"/>
        </w:rPr>
      </w:pPr>
      <w:r w:rsidRPr="00250CE1">
        <w:rPr>
          <w:i/>
          <w:iCs/>
          <w:sz w:val="20"/>
          <w:szCs w:val="20"/>
        </w:rPr>
        <w:t>When will these bylaws take affec</w:t>
      </w:r>
      <w:r w:rsidR="008721AD" w:rsidRPr="00250CE1">
        <w:rPr>
          <w:i/>
          <w:iCs/>
          <w:sz w:val="20"/>
          <w:szCs w:val="20"/>
        </w:rPr>
        <w:t>t?</w:t>
      </w:r>
    </w:p>
    <w:p w14:paraId="1BF1CC0D" w14:textId="0F7345FE" w:rsidR="003E44BD" w:rsidRPr="00250CE1" w:rsidRDefault="00E04AB7" w:rsidP="00F72524">
      <w:pPr>
        <w:pStyle w:val="ListParagraph"/>
        <w:ind w:left="630"/>
        <w:rPr>
          <w:sz w:val="20"/>
          <w:szCs w:val="20"/>
        </w:rPr>
      </w:pPr>
      <w:r w:rsidRPr="00250CE1">
        <w:rPr>
          <w:sz w:val="18"/>
          <w:szCs w:val="18"/>
        </w:rPr>
        <w:t xml:space="preserve">Immediately upon </w:t>
      </w:r>
      <w:r w:rsidR="00516E40" w:rsidRPr="00250CE1">
        <w:rPr>
          <w:sz w:val="18"/>
          <w:szCs w:val="18"/>
        </w:rPr>
        <w:t xml:space="preserve">passage with the exception of the </w:t>
      </w:r>
      <w:r w:rsidR="00204B80" w:rsidRPr="00250CE1">
        <w:rPr>
          <w:sz w:val="18"/>
          <w:szCs w:val="18"/>
        </w:rPr>
        <w:t>proviso</w:t>
      </w:r>
      <w:r w:rsidR="00516E40" w:rsidRPr="00250CE1">
        <w:rPr>
          <w:sz w:val="18"/>
          <w:szCs w:val="18"/>
        </w:rPr>
        <w:t xml:space="preserve"> for Article IV that removes the Regional Director-Elect positions which </w:t>
      </w:r>
      <w:r w:rsidR="00204B80" w:rsidRPr="00250CE1">
        <w:rPr>
          <w:sz w:val="18"/>
          <w:szCs w:val="18"/>
        </w:rPr>
        <w:t>will be implemented with the next election cycle</w:t>
      </w:r>
      <w:r w:rsidR="00204B80" w:rsidRPr="00250CE1">
        <w:rPr>
          <w:sz w:val="20"/>
          <w:szCs w:val="20"/>
        </w:rPr>
        <w:t>.</w:t>
      </w:r>
    </w:p>
    <w:p w14:paraId="6F0CC01D" w14:textId="77777777" w:rsidR="00204B80" w:rsidRPr="00D21B49" w:rsidRDefault="00204B80" w:rsidP="00EF0595">
      <w:pPr>
        <w:jc w:val="right"/>
        <w:rPr>
          <w:sz w:val="20"/>
          <w:szCs w:val="20"/>
        </w:rPr>
      </w:pPr>
    </w:p>
    <w:p w14:paraId="4820666D" w14:textId="1B2B8151" w:rsidR="003E44BD" w:rsidRPr="00250CE1" w:rsidRDefault="003E44BD" w:rsidP="00EF0595">
      <w:pPr>
        <w:jc w:val="right"/>
      </w:pPr>
      <w:r w:rsidRPr="00250CE1">
        <w:t xml:space="preserve">Additional questions? Please attend our informational </w:t>
      </w:r>
      <w:r w:rsidR="000B7DC2" w:rsidRPr="00250CE1">
        <w:t xml:space="preserve">webinar on </w:t>
      </w:r>
      <w:r w:rsidR="00EF0595" w:rsidRPr="00250CE1">
        <w:rPr>
          <w:u w:val="single"/>
        </w:rPr>
        <w:t>Tuesday, June 16</w:t>
      </w:r>
      <w:r w:rsidR="00EF0595" w:rsidRPr="00250CE1">
        <w:rPr>
          <w:u w:val="single"/>
          <w:vertAlign w:val="superscript"/>
        </w:rPr>
        <w:t>th</w:t>
      </w:r>
      <w:r w:rsidR="00EF0595" w:rsidRPr="00250CE1">
        <w:rPr>
          <w:u w:val="single"/>
        </w:rPr>
        <w:t xml:space="preserve"> at 4pm EDT</w:t>
      </w:r>
      <w:r w:rsidR="00EF0595" w:rsidRPr="00250CE1">
        <w:t xml:space="preserve"> via Zoom or email Daniel Foster, NACTA Parliamentarian at </w:t>
      </w:r>
      <w:hyperlink r:id="rId7" w:history="1">
        <w:r w:rsidR="00EF0595" w:rsidRPr="00250CE1">
          <w:rPr>
            <w:rStyle w:val="Hyperlink"/>
          </w:rPr>
          <w:t>foster@psu.edu</w:t>
        </w:r>
      </w:hyperlink>
      <w:r w:rsidR="00EF0595" w:rsidRPr="00250CE1">
        <w:t xml:space="preserve"> </w:t>
      </w:r>
    </w:p>
    <w:sectPr w:rsidR="003E44BD" w:rsidRPr="00250CE1" w:rsidSect="00307D3D">
      <w:type w:val="continuous"/>
      <w:pgSz w:w="12240" w:h="15840"/>
      <w:pgMar w:top="720" w:right="720" w:bottom="720" w:left="720" w:header="720" w:footer="720"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E1739"/>
    <w:multiLevelType w:val="hybridMultilevel"/>
    <w:tmpl w:val="15D85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3E682C"/>
    <w:multiLevelType w:val="hybridMultilevel"/>
    <w:tmpl w:val="5A46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4A0DB7"/>
    <w:multiLevelType w:val="hybridMultilevel"/>
    <w:tmpl w:val="C14E3D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602059"/>
    <w:multiLevelType w:val="hybridMultilevel"/>
    <w:tmpl w:val="40BCE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2D"/>
    <w:rsid w:val="000019B2"/>
    <w:rsid w:val="00050D21"/>
    <w:rsid w:val="00075358"/>
    <w:rsid w:val="000B7DC2"/>
    <w:rsid w:val="001B417F"/>
    <w:rsid w:val="00203EA2"/>
    <w:rsid w:val="00204B80"/>
    <w:rsid w:val="002125FB"/>
    <w:rsid w:val="00242782"/>
    <w:rsid w:val="00250CE1"/>
    <w:rsid w:val="00273136"/>
    <w:rsid w:val="00307D3D"/>
    <w:rsid w:val="003123D2"/>
    <w:rsid w:val="00395145"/>
    <w:rsid w:val="003E44BD"/>
    <w:rsid w:val="0045761D"/>
    <w:rsid w:val="004C28D8"/>
    <w:rsid w:val="004E14E7"/>
    <w:rsid w:val="00516E40"/>
    <w:rsid w:val="00545DEC"/>
    <w:rsid w:val="00594F5E"/>
    <w:rsid w:val="005F0F9A"/>
    <w:rsid w:val="0063705C"/>
    <w:rsid w:val="00680CD1"/>
    <w:rsid w:val="006A43A4"/>
    <w:rsid w:val="006D6306"/>
    <w:rsid w:val="007A362E"/>
    <w:rsid w:val="007B0154"/>
    <w:rsid w:val="007F46A2"/>
    <w:rsid w:val="00822EC9"/>
    <w:rsid w:val="008721AD"/>
    <w:rsid w:val="008A7922"/>
    <w:rsid w:val="0096210C"/>
    <w:rsid w:val="009C5818"/>
    <w:rsid w:val="009D1FB2"/>
    <w:rsid w:val="00A23853"/>
    <w:rsid w:val="00A31A31"/>
    <w:rsid w:val="00A35D21"/>
    <w:rsid w:val="00A45C40"/>
    <w:rsid w:val="00B17572"/>
    <w:rsid w:val="00B8439A"/>
    <w:rsid w:val="00BF03FD"/>
    <w:rsid w:val="00C05936"/>
    <w:rsid w:val="00C146EB"/>
    <w:rsid w:val="00CC57DB"/>
    <w:rsid w:val="00CF3EFE"/>
    <w:rsid w:val="00D21B49"/>
    <w:rsid w:val="00D61478"/>
    <w:rsid w:val="00D64CAE"/>
    <w:rsid w:val="00E04AB7"/>
    <w:rsid w:val="00E07DB1"/>
    <w:rsid w:val="00EC7856"/>
    <w:rsid w:val="00EE6493"/>
    <w:rsid w:val="00EF0595"/>
    <w:rsid w:val="00F22860"/>
    <w:rsid w:val="00F3132D"/>
    <w:rsid w:val="00F33713"/>
    <w:rsid w:val="00F72524"/>
    <w:rsid w:val="00F8515C"/>
    <w:rsid w:val="00FD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DEE8"/>
  <w15:chartTrackingRefBased/>
  <w15:docId w15:val="{36A6587C-C9F0-B347-AB2A-245426AC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D21"/>
    <w:pPr>
      <w:ind w:left="720"/>
      <w:contextualSpacing/>
    </w:pPr>
  </w:style>
  <w:style w:type="character" w:styleId="Hyperlink">
    <w:name w:val="Hyperlink"/>
    <w:basedOn w:val="DefaultParagraphFont"/>
    <w:uiPriority w:val="99"/>
    <w:unhideWhenUsed/>
    <w:rsid w:val="00273136"/>
    <w:rPr>
      <w:color w:val="0563C1" w:themeColor="hyperlink"/>
      <w:u w:val="single"/>
    </w:rPr>
  </w:style>
  <w:style w:type="character" w:styleId="UnresolvedMention">
    <w:name w:val="Unresolved Mention"/>
    <w:basedOn w:val="DefaultParagraphFont"/>
    <w:uiPriority w:val="99"/>
    <w:semiHidden/>
    <w:unhideWhenUsed/>
    <w:rsid w:val="00273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ster@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ster@ps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Daniel Douglas</dc:creator>
  <cp:keywords/>
  <dc:description/>
  <cp:lastModifiedBy>Foster, Daniel Douglas</cp:lastModifiedBy>
  <cp:revision>59</cp:revision>
  <dcterms:created xsi:type="dcterms:W3CDTF">2020-06-06T12:24:00Z</dcterms:created>
  <dcterms:modified xsi:type="dcterms:W3CDTF">2020-06-06T13:24:00Z</dcterms:modified>
</cp:coreProperties>
</file>